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13" w:rsidRPr="00744CAD" w:rsidRDefault="007127AD">
      <w:pPr>
        <w:pStyle w:val="Standard"/>
        <w:ind w:firstLine="5329"/>
        <w:rPr>
          <w:lang w:val="ru-RU"/>
        </w:rPr>
      </w:pPr>
      <w:bookmarkStart w:id="0" w:name="_GoBack"/>
      <w:bookmarkEnd w:id="0"/>
      <w:r w:rsidRPr="00744CAD">
        <w:rPr>
          <w:lang w:val="ru-RU"/>
        </w:rPr>
        <w:t>ЗАТВЕРДЖЕНО</w:t>
      </w:r>
      <w:r w:rsidRPr="00744CAD">
        <w:rPr>
          <w:lang w:val="ru-RU"/>
        </w:rPr>
        <w:tab/>
      </w:r>
      <w:r w:rsidRPr="00744CAD">
        <w:rPr>
          <w:lang w:val="ru-RU"/>
        </w:rPr>
        <w:tab/>
      </w:r>
    </w:p>
    <w:p w:rsidR="00092213" w:rsidRPr="00744CAD" w:rsidRDefault="007127AD">
      <w:pPr>
        <w:pStyle w:val="Standard"/>
        <w:ind w:firstLine="5329"/>
        <w:rPr>
          <w:lang w:val="ru-RU"/>
        </w:rPr>
      </w:pPr>
      <w:r w:rsidRPr="00744CAD">
        <w:rPr>
          <w:lang w:val="ru-RU"/>
        </w:rPr>
        <w:t>Наказ Головного управління</w:t>
      </w:r>
    </w:p>
    <w:p w:rsidR="00092213" w:rsidRPr="00744CAD" w:rsidRDefault="007127AD">
      <w:pPr>
        <w:pStyle w:val="Standard"/>
        <w:ind w:firstLine="5329"/>
        <w:rPr>
          <w:lang w:val="ru-RU"/>
        </w:rPr>
      </w:pPr>
      <w:r w:rsidRPr="00744CAD">
        <w:rPr>
          <w:lang w:val="ru-RU"/>
        </w:rPr>
        <w:t>Держгеокадастру у Рівненській області</w:t>
      </w:r>
    </w:p>
    <w:p w:rsidR="00092213" w:rsidRPr="00744CAD" w:rsidRDefault="007127AD">
      <w:pPr>
        <w:pStyle w:val="Standard"/>
        <w:ind w:firstLine="5329"/>
        <w:rPr>
          <w:lang w:val="ru-RU"/>
        </w:rPr>
      </w:pPr>
      <w:r>
        <w:rPr>
          <w:rStyle w:val="StrongEmphasis"/>
          <w:b w:val="0"/>
          <w:bCs w:val="0"/>
          <w:color w:val="000000"/>
          <w:lang w:val="uk-UA"/>
        </w:rPr>
        <w:t>від 16.11.2017 № 552</w:t>
      </w:r>
    </w:p>
    <w:p w:rsidR="00092213" w:rsidRDefault="00092213">
      <w:pPr>
        <w:pStyle w:val="a5"/>
        <w:spacing w:before="0" w:after="0"/>
        <w:jc w:val="center"/>
      </w:pPr>
    </w:p>
    <w:p w:rsidR="00092213" w:rsidRDefault="007127AD">
      <w:pPr>
        <w:pStyle w:val="a5"/>
        <w:spacing w:before="0" w:after="0"/>
        <w:jc w:val="center"/>
      </w:pPr>
      <w:r>
        <w:rPr>
          <w:rStyle w:val="StrongEmphasis"/>
          <w:lang w:val="uk-UA"/>
        </w:rPr>
        <w:t>ІНФОРМАЦІЙНА КАРТКА АДМІНІСТРАТИВНОЇ ПОСЛУГИ</w:t>
      </w:r>
    </w:p>
    <w:p w:rsidR="00092213" w:rsidRDefault="007127AD">
      <w:pPr>
        <w:pStyle w:val="a5"/>
        <w:spacing w:before="0" w:after="0"/>
        <w:jc w:val="center"/>
        <w:rPr>
          <w:u w:val="single"/>
          <w:lang w:val="uk-UA"/>
        </w:rPr>
      </w:pPr>
      <w:r>
        <w:rPr>
          <w:u w:val="single"/>
          <w:lang w:val="uk-UA"/>
        </w:rPr>
        <w:t xml:space="preserve">ВИДАЧА ДОЗВОЛУ НА ЗНЯТТЯ ТА </w:t>
      </w:r>
      <w:r>
        <w:rPr>
          <w:u w:val="single"/>
          <w:lang w:val="uk-UA"/>
        </w:rPr>
        <w:t>ПЕРЕНЕСЕННЯ ҐРУНТОВОГО ПОКРИВУ (РОДЮЧОГО ШАРУ ҐРУНТУ) ЗЕМЕЛЬНОЇ ДІЛЯНКИ</w:t>
      </w:r>
    </w:p>
    <w:p w:rsidR="00092213" w:rsidRDefault="007127AD">
      <w:pPr>
        <w:pStyle w:val="a5"/>
        <w:spacing w:before="0" w:after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092213" w:rsidRDefault="007127AD">
      <w:pPr>
        <w:pStyle w:val="a5"/>
        <w:spacing w:before="0" w:after="0"/>
        <w:jc w:val="center"/>
        <w:rPr>
          <w:u w:val="single"/>
          <w:lang w:val="uk-UA"/>
        </w:rPr>
      </w:pPr>
      <w:r>
        <w:rPr>
          <w:u w:val="single"/>
          <w:lang w:val="uk-UA"/>
        </w:rPr>
        <w:t>Головне управління Держгеокадастру у Рівненській області</w:t>
      </w:r>
    </w:p>
    <w:p w:rsidR="00092213" w:rsidRDefault="007127AD">
      <w:pPr>
        <w:pStyle w:val="a5"/>
        <w:spacing w:before="0" w:after="0"/>
        <w:jc w:val="center"/>
        <w:rPr>
          <w:lang w:val="uk-UA"/>
        </w:rPr>
      </w:pPr>
      <w:r>
        <w:rPr>
          <w:sz w:val="16"/>
          <w:szCs w:val="16"/>
          <w:lang w:val="uk-UA"/>
        </w:rPr>
        <w:t>(найменування суб’єкта надання адміністративної послуги)</w:t>
      </w:r>
      <w:r>
        <w:rPr>
          <w:lang w:val="uk-UA"/>
        </w:rPr>
        <w:t> 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6174"/>
      </w:tblGrid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a5"/>
              <w:spacing w:after="0"/>
              <w:jc w:val="center"/>
            </w:pPr>
            <w:r>
              <w:rPr>
                <w:rStyle w:val="StrongEmphasis"/>
                <w:rFonts w:eastAsia="Calibri"/>
                <w:lang w:val="uk-UA"/>
              </w:rPr>
              <w:t>Інформація про суб’єкта надання адмі</w:t>
            </w:r>
            <w:r>
              <w:rPr>
                <w:rStyle w:val="StrongEmphasis"/>
                <w:rFonts w:eastAsia="Calibri"/>
                <w:lang w:val="uk-UA"/>
              </w:rPr>
              <w:t>ністративної послуги</w:t>
            </w:r>
          </w:p>
        </w:tc>
      </w:tr>
      <w:tr w:rsidR="0009221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092213">
            <w:pPr>
              <w:pStyle w:val="Standard"/>
              <w:snapToGrid w:val="0"/>
              <w:jc w:val="center"/>
              <w:rPr>
                <w:rFonts w:eastAsia="Calibri"/>
                <w:shd w:val="clear" w:color="auto" w:fill="FFFFFF"/>
                <w:lang w:val="uk-UA"/>
              </w:rPr>
            </w:pPr>
          </w:p>
          <w:p w:rsidR="00092213" w:rsidRDefault="007127AD">
            <w:pPr>
              <w:pStyle w:val="Standard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33028</w:t>
            </w:r>
            <w:r>
              <w:rPr>
                <w:rStyle w:val="StrongEmphasis"/>
                <w:b w:val="0"/>
                <w:bCs w:val="0"/>
                <w:shd w:val="clear" w:color="auto" w:fill="FFFFFF"/>
                <w:lang w:val="uk-UA"/>
              </w:rPr>
              <w:t>,</w:t>
            </w:r>
            <w:r>
              <w:rPr>
                <w:rStyle w:val="apple-converted-space"/>
                <w:shd w:val="clear" w:color="auto" w:fill="FFFFFF"/>
                <w:lang w:val="uk-UA"/>
              </w:rPr>
              <w:t> </w:t>
            </w:r>
            <w:r>
              <w:rPr>
                <w:rFonts w:eastAsia="Calibri"/>
                <w:shd w:val="clear" w:color="auto" w:fill="FFFFFF"/>
                <w:lang w:val="uk-UA"/>
              </w:rPr>
              <w:t>м. Рівне, майдан Просвіти, 2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Понеділок: з 9.00 до 18.00</w:t>
            </w:r>
          </w:p>
          <w:p w:rsidR="00092213" w:rsidRDefault="007127AD">
            <w:pPr>
              <w:pStyle w:val="Standard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Вівторок: з 9.00 до 20.00</w:t>
            </w:r>
          </w:p>
          <w:p w:rsidR="00092213" w:rsidRDefault="007127AD">
            <w:pPr>
              <w:pStyle w:val="Standard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Середа: </w:t>
            </w:r>
            <w:r>
              <w:rPr>
                <w:lang w:val="uk-UA"/>
              </w:rPr>
              <w:t>з 9.00 до 18.00</w:t>
            </w:r>
          </w:p>
          <w:p w:rsidR="00092213" w:rsidRDefault="007127AD">
            <w:pPr>
              <w:pStyle w:val="Standard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Четвер: з 9.00 до 18.00</w:t>
            </w:r>
          </w:p>
          <w:p w:rsidR="00092213" w:rsidRDefault="007127AD">
            <w:pPr>
              <w:pStyle w:val="Standard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П’ятниця: з 9.00 до 16.00</w:t>
            </w:r>
          </w:p>
          <w:p w:rsidR="00092213" w:rsidRDefault="007127AD">
            <w:pPr>
              <w:pStyle w:val="Standard"/>
              <w:numPr>
                <w:ilvl w:val="0"/>
                <w:numId w:val="1"/>
              </w:numPr>
              <w:spacing w:after="280"/>
              <w:rPr>
                <w:lang w:val="uk-UA"/>
              </w:rPr>
            </w:pPr>
            <w:r>
              <w:rPr>
                <w:lang w:val="uk-UA"/>
              </w:rPr>
              <w:t>Субота: з 9.00 до 16.00</w:t>
            </w:r>
          </w:p>
          <w:p w:rsidR="00092213" w:rsidRDefault="007127AD">
            <w:pPr>
              <w:pStyle w:val="Standard"/>
              <w:numPr>
                <w:ilvl w:val="0"/>
                <w:numId w:val="1"/>
              </w:numPr>
              <w:snapToGri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Вихідні дні: неділя, святкові та неробочі дні.</w:t>
            </w:r>
          </w:p>
        </w:tc>
      </w:tr>
      <w:tr w:rsidR="0009221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Pr="00744CAD" w:rsidRDefault="00092213">
            <w:pPr>
              <w:pStyle w:val="Standard"/>
              <w:jc w:val="center"/>
              <w:rPr>
                <w:lang w:val="ru-RU"/>
              </w:rPr>
            </w:pPr>
          </w:p>
          <w:p w:rsidR="00092213" w:rsidRPr="00744CAD" w:rsidRDefault="007127AD">
            <w:pPr>
              <w:pStyle w:val="Standard"/>
              <w:jc w:val="center"/>
              <w:rPr>
                <w:lang w:val="uk-UA"/>
              </w:rPr>
            </w:pPr>
            <w:r>
              <w:rPr>
                <w:rStyle w:val="apple-converted-space"/>
                <w:shd w:val="clear" w:color="auto" w:fill="FFFFFF"/>
                <w:lang w:val="uk-UA"/>
              </w:rPr>
              <w:t> </w:t>
            </w:r>
            <w:r>
              <w:rPr>
                <w:shd w:val="clear" w:color="auto" w:fill="FFFFFF"/>
                <w:lang w:val="uk-UA"/>
              </w:rPr>
              <w:t>648-922</w:t>
            </w:r>
          </w:p>
          <w:p w:rsidR="00092213" w:rsidRDefault="007127AD">
            <w:pPr>
              <w:pStyle w:val="Standard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Style w:val="apple-converted-space"/>
                <w:shd w:val="clear" w:color="auto" w:fill="FFFFFF"/>
                <w:lang w:val="uk-UA"/>
              </w:rPr>
              <w:t> </w:t>
            </w:r>
            <w:hyperlink r:id="rId7" w:history="1">
              <w:r>
                <w:rPr>
                  <w:rStyle w:val="Internetlink"/>
                </w:rPr>
                <w:t>cnap</w:t>
              </w:r>
            </w:hyperlink>
            <w:hyperlink r:id="rId8" w:history="1">
              <w:r w:rsidRPr="00744CAD">
                <w:rPr>
                  <w:rStyle w:val="Internetlink"/>
                  <w:lang w:val="uk-UA"/>
                </w:rPr>
                <w:t>@</w:t>
              </w:r>
            </w:hyperlink>
            <w:hyperlink r:id="rId9" w:history="1">
              <w:r>
                <w:rPr>
                  <w:rStyle w:val="Internetlink"/>
                </w:rPr>
                <w:t>ukr</w:t>
              </w:r>
            </w:hyperlink>
            <w:hyperlink r:id="rId10" w:history="1">
              <w:r w:rsidRPr="00744CAD">
                <w:rPr>
                  <w:rStyle w:val="Internetlink"/>
                  <w:lang w:val="uk-UA"/>
                </w:rPr>
                <w:t>.</w:t>
              </w:r>
            </w:hyperlink>
            <w:hyperlink r:id="rId11" w:history="1">
              <w:r>
                <w:rPr>
                  <w:rStyle w:val="Internetlink"/>
                </w:rPr>
                <w:t>net</w:t>
              </w:r>
            </w:hyperlink>
            <w:r>
              <w:rPr>
                <w:rFonts w:eastAsia="Calibri"/>
                <w:shd w:val="clear" w:color="auto" w:fill="FFFFFF"/>
                <w:lang w:val="uk-UA"/>
              </w:rPr>
              <w:t>,</w:t>
            </w:r>
            <w:r>
              <w:rPr>
                <w:rStyle w:val="apple-converted-space"/>
                <w:shd w:val="clear" w:color="auto" w:fill="FFFFFF"/>
                <w:lang w:val="uk-UA"/>
              </w:rPr>
              <w:t> </w:t>
            </w:r>
            <w:hyperlink r:id="rId12" w:history="1">
              <w:r>
                <w:rPr>
                  <w:rStyle w:val="Internetlink"/>
                </w:rPr>
                <w:t>cnap</w:t>
              </w:r>
            </w:hyperlink>
            <w:hyperlink r:id="rId13" w:history="1">
              <w:r w:rsidRPr="00744CAD">
                <w:rPr>
                  <w:rStyle w:val="Internetlink"/>
                  <w:lang w:val="uk-UA"/>
                </w:rPr>
                <w:t>.</w:t>
              </w:r>
            </w:hyperlink>
            <w:hyperlink r:id="rId14" w:history="1">
              <w:r>
                <w:rPr>
                  <w:rStyle w:val="Internetlink"/>
                </w:rPr>
                <w:t>Rivne</w:t>
              </w:r>
            </w:hyperlink>
            <w:hyperlink r:id="rId15" w:history="1">
              <w:r w:rsidRPr="00744CAD">
                <w:rPr>
                  <w:rStyle w:val="Internetlink"/>
                  <w:lang w:val="uk-UA"/>
                </w:rPr>
                <w:t>@</w:t>
              </w:r>
            </w:hyperlink>
            <w:hyperlink r:id="rId16" w:history="1">
              <w:r>
                <w:rPr>
                  <w:rStyle w:val="Internetlink"/>
                </w:rPr>
                <w:t>ukr</w:t>
              </w:r>
            </w:hyperlink>
            <w:hyperlink r:id="rId17" w:history="1">
              <w:r w:rsidRPr="00744CAD">
                <w:rPr>
                  <w:rStyle w:val="Internetlink"/>
                  <w:lang w:val="uk-UA"/>
                </w:rPr>
                <w:t>.</w:t>
              </w:r>
            </w:hyperlink>
            <w:hyperlink r:id="rId18" w:history="1">
              <w:r>
                <w:rPr>
                  <w:rStyle w:val="Internetlink"/>
                </w:rPr>
                <w:t>net</w:t>
              </w:r>
            </w:hyperlink>
            <w:r>
              <w:rPr>
                <w:rFonts w:eastAsia="Calibri"/>
                <w:shd w:val="clear" w:color="auto" w:fill="FFFFFF"/>
                <w:lang w:val="uk-UA"/>
              </w:rPr>
              <w:t>,</w:t>
            </w:r>
            <w:r>
              <w:rPr>
                <w:rStyle w:val="apple-converted-space"/>
                <w:shd w:val="clear" w:color="auto" w:fill="FFFFFF"/>
                <w:lang w:val="uk-UA"/>
              </w:rPr>
              <w:t> </w:t>
            </w:r>
            <w:hyperlink r:id="rId19" w:history="1">
              <w:r>
                <w:rPr>
                  <w:rStyle w:val="Internetlink"/>
                </w:rPr>
                <w:t>edo</w:t>
              </w:r>
            </w:hyperlink>
            <w:hyperlink r:id="rId20" w:history="1">
              <w:r>
                <w:rPr>
                  <w:rStyle w:val="Internetlink"/>
                </w:rPr>
                <w:t>-</w:t>
              </w:r>
            </w:hyperlink>
            <w:hyperlink r:id="rId21" w:history="1">
              <w:r>
                <w:rPr>
                  <w:rStyle w:val="Internetlink"/>
                </w:rPr>
                <w:t>rivne</w:t>
              </w:r>
            </w:hyperlink>
            <w:hyperlink r:id="rId22" w:history="1">
              <w:r>
                <w:rPr>
                  <w:rStyle w:val="Internetlink"/>
                </w:rPr>
                <w:t>@</w:t>
              </w:r>
            </w:hyperlink>
            <w:hyperlink r:id="rId23" w:history="1">
              <w:r>
                <w:rPr>
                  <w:rStyle w:val="Internetlink"/>
                </w:rPr>
                <w:t>ukr</w:t>
              </w:r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</w:rPr>
                <w:t>net</w:t>
              </w:r>
            </w:hyperlink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a5"/>
              <w:spacing w:after="0"/>
              <w:jc w:val="center"/>
            </w:pPr>
            <w:r>
              <w:rPr>
                <w:rStyle w:val="StrongEmphasis"/>
                <w:rFonts w:eastAsia="Calibri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Закони України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Статті 166, 168 Земельного кодексу України; Закон України “Про дозвільну систему у сфері </w:t>
            </w:r>
            <w:r>
              <w:rPr>
                <w:rFonts w:eastAsia="Calibri"/>
                <w:lang w:val="uk-UA"/>
              </w:rPr>
              <w:t>господарської діяльності”; Закон України “Про Перелік документів дозвільного характеру у сфері господарської діяльності ”; стаття 6 Закону України “Про державний контроль за використанням та охороною земель”</w:t>
            </w:r>
          </w:p>
        </w:tc>
      </w:tr>
      <w:tr w:rsidR="0009221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Акти Кабінету Міністрів України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092213">
            <w:pPr>
              <w:pStyle w:val="Standard"/>
              <w:snapToGrid w:val="0"/>
              <w:rPr>
                <w:rFonts w:eastAsia="Calibri"/>
                <w:lang w:val="uk-UA"/>
              </w:rPr>
            </w:pP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Акти це</w:t>
            </w:r>
            <w:r>
              <w:rPr>
                <w:rFonts w:eastAsia="Calibri"/>
                <w:lang w:val="uk-UA"/>
              </w:rPr>
              <w:t>нтральних органів виконавчої влади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Наказ Державного комітету України по земельних ресурсах від 04.01.2005 № 1 «Про затвердження порядку видачі та анулювання спеціальних дозволів на зняття та перенесення ґрунтового покриву (родючого шару ґрунту) земельних д</w:t>
            </w:r>
            <w:r>
              <w:rPr>
                <w:rFonts w:eastAsia="Calibri"/>
                <w:lang w:val="uk-UA"/>
              </w:rPr>
              <w:t>ілянок» (зареєстровано в Міністерстві юстиції України 20.01.2005 № 70/10350)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092213">
            <w:pPr>
              <w:pStyle w:val="Standard"/>
              <w:snapToGrid w:val="0"/>
              <w:rPr>
                <w:rFonts w:eastAsia="Calibri"/>
                <w:lang w:val="uk-UA"/>
              </w:rPr>
            </w:pPr>
          </w:p>
        </w:tc>
      </w:tr>
      <w:tr w:rsidR="00092213">
        <w:tblPrEx>
          <w:tblCellMar>
            <w:top w:w="0" w:type="dxa"/>
            <w:bottom w:w="0" w:type="dxa"/>
          </w:tblCellMar>
        </w:tblPrEx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092213">
            <w:pPr>
              <w:pStyle w:val="a5"/>
              <w:spacing w:after="0"/>
              <w:jc w:val="center"/>
            </w:pPr>
          </w:p>
          <w:p w:rsidR="00092213" w:rsidRDefault="007127AD">
            <w:pPr>
              <w:pStyle w:val="a5"/>
              <w:spacing w:after="0"/>
              <w:jc w:val="center"/>
            </w:pPr>
            <w:r>
              <w:rPr>
                <w:rStyle w:val="StrongEmphasis"/>
                <w:rFonts w:eastAsia="Calibri"/>
                <w:lang w:val="uk-UA"/>
              </w:rPr>
              <w:t>Умови отримання адміністративної послуги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Підстави для отримання адміністративної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Заява</w:t>
            </w:r>
            <w:r>
              <w:rPr>
                <w:rFonts w:eastAsia="Calibri"/>
                <w:lang w:val="uk-UA"/>
              </w:rPr>
              <w:t xml:space="preserve"> суб’єкта господарювання та документи необхідні для отримання адміністративної послуги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Вичерпний перелік </w:t>
            </w:r>
            <w:r>
              <w:rPr>
                <w:rFonts w:eastAsia="Calibri"/>
                <w:lang w:val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spacing w:line="360" w:lineRule="auto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 xml:space="preserve">– </w:t>
            </w:r>
            <w:r>
              <w:rPr>
                <w:rFonts w:eastAsia="Calibri"/>
                <w:lang w:val="uk-UA"/>
              </w:rPr>
              <w:t>заява на отримання дозволу;</w:t>
            </w:r>
          </w:p>
          <w:p w:rsidR="00092213" w:rsidRDefault="007127AD">
            <w:pPr>
              <w:pStyle w:val="Standard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 xml:space="preserve">– </w:t>
            </w:r>
            <w:r>
              <w:rPr>
                <w:rFonts w:eastAsia="Calibri"/>
                <w:lang w:val="uk-UA"/>
              </w:rPr>
              <w:t xml:space="preserve">копія документа, що посвідчує право власності чи </w:t>
            </w:r>
            <w:r>
              <w:rPr>
                <w:rFonts w:eastAsia="Calibri"/>
                <w:lang w:val="uk-UA"/>
              </w:rPr>
              <w:t>право користування земельною ділянкою;</w:t>
            </w:r>
          </w:p>
          <w:p w:rsidR="00092213" w:rsidRDefault="00092213">
            <w:pPr>
              <w:pStyle w:val="Standard"/>
              <w:rPr>
                <w:rFonts w:eastAsia="Calibri"/>
                <w:lang w:val="uk-UA"/>
              </w:rPr>
            </w:pPr>
          </w:p>
          <w:p w:rsidR="00092213" w:rsidRDefault="007127AD">
            <w:pPr>
              <w:pStyle w:val="Standard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</w:t>
            </w:r>
            <w:r>
              <w:rPr>
                <w:rFonts w:eastAsia="Calibri"/>
                <w:lang w:val="uk-UA"/>
              </w:rPr>
              <w:t>копія документа, що посвідчує особу (для фізичних осіб), код ЄДРПОУ для юридичної особи, інформація щодо прізвища, імені та по батькові особи, відповідальної за додержання умов зняття, збереження і використання род</w:t>
            </w:r>
            <w:r>
              <w:rPr>
                <w:rFonts w:eastAsia="Calibri"/>
                <w:lang w:val="uk-UA"/>
              </w:rPr>
              <w:t xml:space="preserve">ючого шару ґрунту, її номер телефону; представників – копія документа, що посвідчує особу, довіреність на отримання дозволу, інформація щодо прізвища, імені та по батькові особи, відповідальної за додержання умов зняття, збереження і використання родючого </w:t>
            </w:r>
            <w:r>
              <w:rPr>
                <w:rFonts w:eastAsia="Calibri"/>
                <w:lang w:val="uk-UA"/>
              </w:rPr>
              <w:t>шару ґрунту, її номер телефону);</w:t>
            </w:r>
          </w:p>
          <w:p w:rsidR="00092213" w:rsidRDefault="007127AD">
            <w:pPr>
              <w:pStyle w:val="a5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</w:t>
            </w:r>
            <w:r>
              <w:rPr>
                <w:rFonts w:eastAsia="Calibri"/>
                <w:lang w:val="uk-UA"/>
              </w:rPr>
              <w:t>робочий проект землеустрою, затверджений в установленому законом порядку, із зазначенням його розробника;</w:t>
            </w:r>
          </w:p>
          <w:p w:rsidR="00092213" w:rsidRDefault="007127AD">
            <w:pPr>
              <w:pStyle w:val="a5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</w:t>
            </w:r>
            <w:r>
              <w:rPr>
                <w:rFonts w:eastAsia="Calibri"/>
                <w:lang w:val="uk-UA"/>
              </w:rPr>
              <w:t>копія агрохімічного паспорта земельної ділянки;</w:t>
            </w:r>
          </w:p>
          <w:p w:rsidR="00092213" w:rsidRDefault="007127AD">
            <w:pPr>
              <w:pStyle w:val="a5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</w:t>
            </w:r>
            <w:r>
              <w:rPr>
                <w:rFonts w:eastAsia="Calibri"/>
                <w:lang w:val="uk-UA"/>
              </w:rPr>
              <w:t>копія договору на виконання земляних робіт (у разі якщо заявник</w:t>
            </w:r>
            <w:r>
              <w:rPr>
                <w:rFonts w:eastAsia="Calibri"/>
                <w:lang w:val="uk-UA"/>
              </w:rPr>
              <w:t xml:space="preserve"> уклав договір на зняття та перенесення ґрунтового покриву (родючого шару ґрунту) земельної ділянки з іншою фізичною чи юридичною особою), прізвище, ім’я та по батькові особи, відповідальної за додержання умов зняття, збереження і використання родючого шар</w:t>
            </w:r>
            <w:r>
              <w:rPr>
                <w:rFonts w:eastAsia="Calibri"/>
                <w:lang w:val="uk-UA"/>
              </w:rPr>
              <w:t>у ґрунту, її номер телефону;</w:t>
            </w:r>
          </w:p>
          <w:p w:rsidR="00092213" w:rsidRDefault="007127AD">
            <w:pPr>
              <w:pStyle w:val="a5"/>
              <w:spacing w:after="0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</w:t>
            </w:r>
            <w:r>
              <w:rPr>
                <w:rFonts w:eastAsia="Calibri"/>
                <w:lang w:val="uk-UA"/>
              </w:rPr>
              <w:t>копія документа, що підтверджує сплату коштів за відшкодування втрат сільськогосподарського і лісогосподарського виробництва (у разі їх наявності).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lastRenderedPageBreak/>
              <w:t>10.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Порядок та спосіб подання документів необхідних для отримання адміністра</w:t>
            </w:r>
            <w:r>
              <w:rPr>
                <w:rFonts w:eastAsia="Calibri"/>
                <w:lang w:val="uk-UA"/>
              </w:rPr>
              <w:t>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Подаються до центру надання адміністративних послуг о</w:t>
            </w:r>
            <w:r>
              <w:rPr>
                <w:rFonts w:eastAsia="Calibri"/>
                <w:lang w:val="uk-UA"/>
              </w:rPr>
              <w:t>собисто заявником або уповноваженою ним особою.</w:t>
            </w:r>
          </w:p>
          <w:p w:rsidR="00092213" w:rsidRDefault="007127AD">
            <w:pPr>
              <w:pStyle w:val="a5"/>
              <w:spacing w:after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Заява та документи, що додаються до неї, можуть бути надіслані рекомендованим листом з описом вкладення</w:t>
            </w:r>
          </w:p>
        </w:tc>
      </w:tr>
      <w:tr w:rsidR="0009221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Платність (безоплатність) </w:t>
            </w:r>
            <w:r>
              <w:rPr>
                <w:rFonts w:eastAsia="Calibri"/>
                <w:lang w:val="uk-UA"/>
              </w:rPr>
              <w:t>надання адміністративної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Безоплатно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 надання адміністративної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Не більше 10 робочих днів</w:t>
            </w:r>
          </w:p>
          <w:p w:rsidR="00092213" w:rsidRDefault="007127AD">
            <w:pPr>
              <w:pStyle w:val="a5"/>
              <w:spacing w:after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Не більше 5 робочих днів у разі повторного звернення.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Підставами для </w:t>
            </w:r>
            <w:r>
              <w:rPr>
                <w:rFonts w:eastAsia="Calibri"/>
                <w:lang w:val="uk-UA"/>
              </w:rPr>
              <w:t>відмови у видачі документа  дозвільного характеру є:</w:t>
            </w:r>
          </w:p>
          <w:p w:rsidR="00092213" w:rsidRDefault="007127AD">
            <w:pPr>
              <w:pStyle w:val="a5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</w:t>
            </w:r>
            <w:r>
              <w:rPr>
                <w:rFonts w:eastAsia="Calibri"/>
                <w:lang w:val="uk-UA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092213" w:rsidRDefault="007127AD">
            <w:pPr>
              <w:pStyle w:val="a5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</w:t>
            </w:r>
            <w:r>
              <w:rPr>
                <w:rFonts w:eastAsia="Calibri"/>
                <w:lang w:val="uk-UA"/>
              </w:rPr>
              <w:t xml:space="preserve">виявлення в документах, поданих </w:t>
            </w:r>
            <w:r>
              <w:rPr>
                <w:rFonts w:eastAsia="Calibri"/>
                <w:lang w:val="uk-UA"/>
              </w:rPr>
              <w:t>суб’єктом  господарювання, недостовірних відомостей;</w:t>
            </w:r>
          </w:p>
          <w:p w:rsidR="00092213" w:rsidRDefault="007127AD">
            <w:pPr>
              <w:pStyle w:val="a5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– негативний висновок за результатами </w:t>
            </w:r>
            <w:r>
              <w:rPr>
                <w:rFonts w:eastAsia="Calibri"/>
                <w:lang w:val="uk-UA"/>
              </w:rPr>
              <w:lastRenderedPageBreak/>
              <w:t>проведених 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lastRenderedPageBreak/>
              <w:t>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Результат надання адміністратив</w:t>
            </w:r>
            <w:r>
              <w:rPr>
                <w:rFonts w:eastAsia="Calibri"/>
                <w:lang w:val="uk-UA"/>
              </w:rPr>
              <w:t>ної послуги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–</w:t>
            </w:r>
            <w:r>
              <w:rPr>
                <w:rFonts w:eastAsia="Calibri"/>
                <w:lang w:val="uk-UA"/>
              </w:rPr>
              <w:t> видача дозволу на зняття та перенесення ґрунтового покриву (родючого шару ґрунту) земельної ділянки;</w:t>
            </w:r>
          </w:p>
          <w:p w:rsidR="00092213" w:rsidRDefault="007127AD">
            <w:pPr>
              <w:pStyle w:val="a5"/>
              <w:spacing w:after="0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–</w:t>
            </w:r>
            <w:r>
              <w:rPr>
                <w:rFonts w:eastAsia="Calibri"/>
                <w:lang w:val="uk-UA"/>
              </w:rPr>
              <w:t> відмова у видачі дозволу на зняття та перенесення ґрунтового покриву (родючого шару ґрунту) земельної ділянки з зазначенням визначених зако</w:t>
            </w:r>
            <w:r>
              <w:rPr>
                <w:rFonts w:eastAsia="Calibri"/>
                <w:lang w:val="uk-UA"/>
              </w:rPr>
              <w:t>ном підстав</w:t>
            </w:r>
          </w:p>
        </w:tc>
      </w:tr>
      <w:tr w:rsidR="00092213" w:rsidRPr="00744CA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15.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Способи отримання відповіді (результату)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Документ дозвільного характеру або письмова відмова, видається </w:t>
            </w:r>
            <w:r>
              <w:rPr>
                <w:rFonts w:eastAsia="Calibri"/>
                <w:color w:val="000000"/>
                <w:lang w:val="uk-UA"/>
              </w:rPr>
              <w:t xml:space="preserve">центром надання адміністративних послуг </w:t>
            </w:r>
            <w:r>
              <w:rPr>
                <w:rFonts w:eastAsia="Calibri"/>
                <w:lang w:val="uk-UA"/>
              </w:rPr>
              <w:t>суб’єкту господарювання або уповноваженій ним особі при пред’явленні документа, що засвідчує йо</w:t>
            </w:r>
            <w:r>
              <w:rPr>
                <w:rFonts w:eastAsia="Calibri"/>
                <w:lang w:val="uk-UA"/>
              </w:rPr>
              <w:t>го особу під підпис про одержання.</w:t>
            </w:r>
          </w:p>
          <w:p w:rsidR="00092213" w:rsidRDefault="007127AD">
            <w:pPr>
              <w:pStyle w:val="a5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 разі нез’явлення суб’єкта господарювання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</w:t>
            </w:r>
            <w:r>
              <w:rPr>
                <w:rFonts w:eastAsia="Calibri"/>
                <w:lang w:val="uk-UA"/>
              </w:rPr>
              <w:t>законом строку розгляду заяви та документів, що додаються до неї, адміністратор направляє письмове повідомлення дозвільного  органу про відмову у видачі документа дозвільного характеру суб’єкту господарювання поштовим відправленням з описом вкладення. </w:t>
            </w:r>
          </w:p>
        </w:tc>
      </w:tr>
      <w:tr w:rsidR="0009221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</w:pPr>
            <w:r>
              <w:rPr>
                <w:rStyle w:val="StrongEmphasis"/>
                <w:rFonts w:eastAsia="Calibri"/>
                <w:lang w:val="uk-UA"/>
              </w:rPr>
              <w:t>16.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7127AD">
            <w:pPr>
              <w:pStyle w:val="Standard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Примітки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213" w:rsidRDefault="00092213">
            <w:pPr>
              <w:pStyle w:val="Standard"/>
              <w:snapToGrid w:val="0"/>
              <w:rPr>
                <w:rFonts w:eastAsia="Calibri"/>
                <w:lang w:val="uk-UA"/>
              </w:rPr>
            </w:pPr>
          </w:p>
        </w:tc>
      </w:tr>
    </w:tbl>
    <w:p w:rsidR="00092213" w:rsidRDefault="00092213">
      <w:pPr>
        <w:pStyle w:val="a5"/>
        <w:rPr>
          <w:rFonts w:cs="Times New Roman"/>
          <w:b/>
          <w:bCs/>
          <w:lang w:val="uk-UA" w:eastAsia="uk-UA"/>
        </w:rPr>
      </w:pPr>
    </w:p>
    <w:sectPr w:rsidR="00092213">
      <w:pgSz w:w="11906" w:h="16838"/>
      <w:pgMar w:top="850" w:right="1134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AD" w:rsidRDefault="007127AD">
      <w:r>
        <w:separator/>
      </w:r>
    </w:p>
  </w:endnote>
  <w:endnote w:type="continuationSeparator" w:id="0">
    <w:p w:rsidR="007127AD" w:rsidRDefault="007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AD" w:rsidRDefault="007127AD">
      <w:r>
        <w:rPr>
          <w:color w:val="000000"/>
        </w:rPr>
        <w:ptab w:relativeTo="margin" w:alignment="center" w:leader="none"/>
      </w:r>
    </w:p>
  </w:footnote>
  <w:footnote w:type="continuationSeparator" w:id="0">
    <w:p w:rsidR="007127AD" w:rsidRDefault="0071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AF1"/>
    <w:multiLevelType w:val="multilevel"/>
    <w:tmpl w:val="A9C2F1E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2213"/>
    <w:rsid w:val="00092213"/>
    <w:rsid w:val="007127AD"/>
    <w:rsid w:val="007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C8F7-0D46-4CC9-8278-3B3AEE31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Звичайний (веб)"/>
    <w:basedOn w:val="Standard"/>
    <w:pPr>
      <w:spacing w:before="280" w:after="280"/>
    </w:pPr>
    <w:rPr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ukr.net" TargetMode="External"/><Relationship Id="rId13" Type="http://schemas.openxmlformats.org/officeDocument/2006/relationships/hyperlink" Target="mailto:cnap.Rivne@ukr.net" TargetMode="External"/><Relationship Id="rId18" Type="http://schemas.openxmlformats.org/officeDocument/2006/relationships/hyperlink" Target="mailto:cnap.Rivne@ukr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do-rivne@ukr.net" TargetMode="External"/><Relationship Id="rId7" Type="http://schemas.openxmlformats.org/officeDocument/2006/relationships/hyperlink" Target="mailto:cnap@ukr.net" TargetMode="External"/><Relationship Id="rId12" Type="http://schemas.openxmlformats.org/officeDocument/2006/relationships/hyperlink" Target="mailto:cnap.Rivne@ukr.net" TargetMode="External"/><Relationship Id="rId17" Type="http://schemas.openxmlformats.org/officeDocument/2006/relationships/hyperlink" Target="mailto:cnap.Rivne@ukr.net" TargetMode="External"/><Relationship Id="rId25" Type="http://schemas.openxmlformats.org/officeDocument/2006/relationships/hyperlink" Target="mailto:edo-rivne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nap.Rivne@ukr.net" TargetMode="External"/><Relationship Id="rId20" Type="http://schemas.openxmlformats.org/officeDocument/2006/relationships/hyperlink" Target="mailto:edo-rivne@uk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ap@ukr.net" TargetMode="External"/><Relationship Id="rId24" Type="http://schemas.openxmlformats.org/officeDocument/2006/relationships/hyperlink" Target="mailto:edo-rivne@uk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nap.Rivne@ukr.net" TargetMode="External"/><Relationship Id="rId23" Type="http://schemas.openxmlformats.org/officeDocument/2006/relationships/hyperlink" Target="mailto:edo-rivne@ukr.net" TargetMode="External"/><Relationship Id="rId10" Type="http://schemas.openxmlformats.org/officeDocument/2006/relationships/hyperlink" Target="mailto:cnap@ukr.net" TargetMode="External"/><Relationship Id="rId19" Type="http://schemas.openxmlformats.org/officeDocument/2006/relationships/hyperlink" Target="mailto:edo-rivne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cnap.Rivne@ukr.net" TargetMode="External"/><Relationship Id="rId22" Type="http://schemas.openxmlformats.org/officeDocument/2006/relationships/hyperlink" Target="mailto:edo-rivne@ukr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biktop</dc:creator>
  <cp:lastModifiedBy>Користувач Windows</cp:lastModifiedBy>
  <cp:revision>2</cp:revision>
  <dcterms:created xsi:type="dcterms:W3CDTF">2017-11-22T08:38:00Z</dcterms:created>
  <dcterms:modified xsi:type="dcterms:W3CDTF">2017-11-22T08:38:00Z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