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7365D"/>
          <w:spacing w:val="-3"/>
          <w:position w:val="0"/>
          <w:sz w:val="28"/>
          <w:shd w:fill="auto" w:val="clear"/>
        </w:rPr>
      </w:pPr>
      <w:r>
        <w:object w:dxaOrig="769" w:dyaOrig="1032">
          <v:rect xmlns:o="urn:schemas-microsoft-com:office:office" xmlns:v="urn:schemas-microsoft-com:vml" id="rectole0000000000" style="width:38.450000pt;height:5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9656" w:leader="none"/>
        </w:tabs>
        <w:suppressAutoHyphens w:val="true"/>
        <w:spacing w:before="0" w:after="0" w:line="240"/>
        <w:ind w:right="-1352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65D"/>
          <w:spacing w:val="-3"/>
          <w:position w:val="0"/>
          <w:sz w:val="28"/>
          <w:shd w:fill="auto" w:val="clear"/>
        </w:rPr>
        <w:t xml:space="preserve">ДЕРЖГЕОКАДАСТР</w:t>
      </w:r>
    </w:p>
    <w:p>
      <w:pPr>
        <w:tabs>
          <w:tab w:val="left" w:pos="9656" w:leader="none"/>
        </w:tabs>
        <w:suppressAutoHyphens w:val="true"/>
        <w:spacing w:before="0" w:after="0" w:line="240"/>
        <w:ind w:right="-1352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65D"/>
          <w:spacing w:val="-3"/>
          <w:position w:val="0"/>
          <w:sz w:val="28"/>
          <w:shd w:fill="auto" w:val="clear"/>
        </w:rPr>
        <w:t xml:space="preserve">Головне управління Держгеокадастру у Рівненській області</w:t>
      </w:r>
    </w:p>
    <w:p>
      <w:pPr>
        <w:tabs>
          <w:tab w:val="left" w:pos="9656" w:leader="none"/>
        </w:tabs>
        <w:suppressAutoHyphens w:val="true"/>
        <w:spacing w:before="0" w:after="0" w:line="240"/>
        <w:ind w:right="-1352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65D"/>
          <w:spacing w:val="140"/>
          <w:position w:val="0"/>
          <w:sz w:val="28"/>
          <w:shd w:fill="auto" w:val="clear"/>
        </w:rPr>
        <w:t xml:space="preserve">НАКАЗ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7365D"/>
          <w:spacing w:val="140"/>
          <w:position w:val="0"/>
          <w:sz w:val="16"/>
          <w:shd w:fill="auto" w:val="clear"/>
        </w:rPr>
      </w:pPr>
    </w:p>
    <w:tbl>
      <w:tblPr>
        <w:tblInd w:w="108" w:type="dxa"/>
      </w:tblPr>
      <w:tblGrid>
        <w:gridCol w:w="3072"/>
        <w:gridCol w:w="2897"/>
        <w:gridCol w:w="3059"/>
      </w:tblGrid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07.09.2018</w:t>
            </w:r>
          </w:p>
        </w:tc>
        <w:tc>
          <w:tcPr>
            <w:tcW w:w="28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 Рівне</w:t>
            </w:r>
          </w:p>
        </w:tc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</w:tr>
    </w:tbl>
    <w:p>
      <w:pPr>
        <w:tabs>
          <w:tab w:val="left" w:pos="10348" w:leader="none"/>
        </w:tabs>
        <w:spacing w:before="0" w:after="0" w:line="240"/>
        <w:ind w:right="-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142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проведення інвентаризації</w:t>
      </w: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бухгалтерський облік та фінансову звітність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зі змінами), наказу Міністерства фінансів України від 02.09.2014 № 879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Положення про інвентаризацію  активів та зобов’язань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НАКАЗУЮ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Створити комісію з проведення інвентаризації основних засобів, інших необоротних матеріальних активів, грошових коштів і документів (щокварталу), розрахунків з дебіторами та кредиторами, бланків суворого обліку (щокварталу), нематеріальних активів та інших статей балансу у Головному управлінні Держгеокадастру у Рівненській області (далі- Головне управління) та його структурних підрозділів в складі:</w:t>
      </w:r>
    </w:p>
    <w:p>
      <w:pPr>
        <w:tabs>
          <w:tab w:val="left" w:pos="8520" w:leader="none"/>
          <w:tab w:val="left" w:pos="9540" w:leader="none"/>
          <w:tab w:val="left" w:pos="9940" w:leader="none"/>
        </w:tabs>
        <w:spacing w:before="0" w:after="0" w:line="240"/>
        <w:ind w:right="-130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77"/>
        <w:gridCol w:w="1673"/>
        <w:gridCol w:w="5871"/>
        <w:gridCol w:w="1928"/>
        <w:gridCol w:w="709"/>
      </w:tblGrid>
      <w:tr>
        <w:trPr>
          <w:trHeight w:val="1" w:hRule="atLeast"/>
          <w:jc w:val="left"/>
        </w:trPr>
        <w:tc>
          <w:tcPr>
            <w:tcW w:w="31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Дубич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Сергій Валерійович</w:t>
            </w:r>
          </w:p>
        </w:tc>
        <w:tc>
          <w:tcPr>
            <w:tcW w:w="754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перший заступник начальника  Головного управління,</w:t>
            </w:r>
          </w:p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 комісії</w:t>
            </w:r>
          </w:p>
        </w:tc>
      </w:tr>
      <w:tr>
        <w:trPr>
          <w:trHeight w:val="1" w:hRule="atLeast"/>
          <w:jc w:val="left"/>
        </w:trPr>
        <w:tc>
          <w:tcPr>
            <w:tcW w:w="1335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Члени комісії:</w:t>
            </w:r>
          </w:p>
        </w:tc>
      </w:tr>
      <w:tr>
        <w:trPr>
          <w:trHeight w:val="1" w:hRule="atLeast"/>
          <w:jc w:val="left"/>
        </w:trPr>
        <w:tc>
          <w:tcPr>
            <w:tcW w:w="48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36" w:leader="none"/>
                <w:tab w:val="left" w:pos="8378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Горецька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Тетяна  Михайлівна</w:t>
            </w:r>
          </w:p>
        </w:tc>
        <w:tc>
          <w:tcPr>
            <w:tcW w:w="779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заступник начальника управління-</w:t>
            </w:r>
          </w:p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відділу бухгалтерського обліку</w:t>
            </w:r>
          </w:p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та звітності фінансового управління</w:t>
            </w:r>
          </w:p>
          <w:p>
            <w:pPr>
              <w:tabs>
                <w:tab w:val="left" w:pos="9214" w:leader="none"/>
              </w:tabs>
              <w:spacing w:before="0" w:after="0" w:line="240"/>
              <w:ind w:right="-130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Головного управління;</w:t>
            </w:r>
          </w:p>
        </w:tc>
      </w:tr>
      <w:tr>
        <w:trPr>
          <w:trHeight w:val="1" w:hRule="atLeast"/>
          <w:jc w:val="left"/>
        </w:trPr>
        <w:tc>
          <w:tcPr>
            <w:tcW w:w="48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Самков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Ігор Миколайович</w:t>
            </w:r>
          </w:p>
        </w:tc>
        <w:tc>
          <w:tcPr>
            <w:tcW w:w="779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відділу організаційного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та господарського забезпечення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управління адміністративно-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організаційного забезпечення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Головного управління;</w:t>
            </w:r>
          </w:p>
        </w:tc>
      </w:tr>
      <w:tr>
        <w:trPr>
          <w:trHeight w:val="1" w:hRule="atLeast"/>
          <w:jc w:val="left"/>
        </w:trPr>
        <w:tc>
          <w:tcPr>
            <w:tcW w:w="48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Косянчук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Тетяна Олександрівна</w:t>
            </w:r>
          </w:p>
        </w:tc>
        <w:tc>
          <w:tcPr>
            <w:tcW w:w="779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відділу обліку,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зобов'язань та розрахунків фінансового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управління Головного управління;</w:t>
            </w:r>
          </w:p>
        </w:tc>
      </w:tr>
      <w:tr>
        <w:trPr>
          <w:trHeight w:val="1" w:hRule="atLeast"/>
          <w:jc w:val="left"/>
        </w:trPr>
        <w:tc>
          <w:tcPr>
            <w:tcW w:w="48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Войтюк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Олександр Віталійович</w:t>
            </w:r>
          </w:p>
        </w:tc>
        <w:tc>
          <w:tcPr>
            <w:tcW w:w="779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заступник начальника відділу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інформаційних технологій та захисту 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інформації Головного управління.</w:t>
            </w:r>
          </w:p>
          <w:p>
            <w:pPr>
              <w:tabs>
                <w:tab w:val="left" w:pos="0" w:leader="none"/>
                <w:tab w:val="left" w:pos="921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9214" w:leader="none"/>
        </w:tabs>
        <w:spacing w:before="0" w:after="0" w:line="240"/>
        <w:ind w:right="-121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Інвентаризацію провести станом на 01.11.2018 в термін з 01.11.2018 по 30.11.2018 року.</w:t>
      </w:r>
    </w:p>
    <w:p>
      <w:pPr>
        <w:tabs>
          <w:tab w:val="left" w:pos="9214" w:leader="none"/>
        </w:tabs>
        <w:spacing w:before="0" w:after="0" w:line="240"/>
        <w:ind w:right="-121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Визнати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таким, що втратив чинність наказ Головного управління Держгеокадастру у Рівненській області від 16.07.2017 № 309 “Про проведення інвентаризації”.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0" w:leader="none"/>
          <w:tab w:val="left" w:pos="9214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цього наказу залишаю за собою.</w:t>
      </w:r>
    </w:p>
    <w:p>
      <w:pPr>
        <w:tabs>
          <w:tab w:val="left" w:pos="0" w:leader="none"/>
          <w:tab w:val="left" w:pos="921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14" w:leader="none"/>
        </w:tabs>
        <w:spacing w:before="0" w:after="0" w:line="240"/>
        <w:ind w:right="-1210" w:left="0" w:firstLine="57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Перший заступник начальника         </w:t>
        <w:tab/>
        <w:t xml:space="preserve">                               С. ДУБИЧ</w:t>
      </w:r>
    </w:p>
    <w:p>
      <w:pPr>
        <w:suppressAutoHyphens w:val="true"/>
        <w:spacing w:before="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1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