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bookmarkStart w:id="0" w:name="_GoBack"/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902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2897"/>
        <w:gridCol w:w="3059"/>
      </w:tblGrid>
      <w:tr>
        <w:trPr/>
        <w:tc>
          <w:tcPr>
            <w:tcW w:w="3072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>05.04.2019</w:t>
            </w:r>
          </w:p>
        </w:tc>
        <w:tc>
          <w:tcPr>
            <w:tcW w:w="2897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м. Рівне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116</w:t>
            </w:r>
          </w:p>
        </w:tc>
      </w:tr>
    </w:tbl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cs="Times New Roman" w:ascii="Times New Roman" w:hAnsi="Times New Roman"/>
          <w:sz w:val="28"/>
          <w:szCs w:val="28"/>
          <w:lang w:val="en-US" w:eastAsia="uk-UA"/>
        </w:rPr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cs="Times New Roman" w:ascii="Times New Roman" w:hAnsi="Times New Roman"/>
          <w:b/>
          <w:sz w:val="28"/>
          <w:szCs w:val="28"/>
          <w:lang w:val="en-US" w:eastAsia="ru-RU"/>
        </w:rPr>
        <w:t>c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творення комісії з </w:t>
      </w: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t>обстеження</w:t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/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t xml:space="preserve">основних засобів та </w:t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/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t>товарно-матеріальних цінностей</w:t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Головного управління </w:t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Держгеокадастру у Рівненській області </w:t>
      </w:r>
    </w:p>
    <w:p>
      <w:pPr>
        <w:pStyle w:val="Normal"/>
        <w:tabs>
          <w:tab w:val="left" w:pos="10348" w:leader="none"/>
        </w:tabs>
        <w:suppressAutoHyphens w:val="false"/>
        <w:ind w:right="-142" w:hanging="0"/>
        <w:rPr/>
      </w:pPr>
      <w:r>
        <w:rPr/>
      </w:r>
    </w:p>
    <w:p>
      <w:pPr>
        <w:pStyle w:val="Normal"/>
        <w:tabs>
          <w:tab w:val="left" w:pos="0" w:leader="none"/>
          <w:tab w:val="left" w:pos="9540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 зв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’</w:t>
      </w:r>
      <w:r>
        <w:rPr>
          <w:rFonts w:cs="Times New Roman" w:ascii="Times New Roman" w:hAnsi="Times New Roman"/>
          <w:sz w:val="28"/>
          <w:szCs w:val="28"/>
          <w:lang w:eastAsia="ru-RU"/>
        </w:rPr>
        <w:t>язку з проведенням управлінням Західного офісу Держаудитслужби в Рівненській області державного фінансового аудиту виконання бюджетних   програм Головного управління Держгеокадастру у Рівненській області за період з 01.01.2016 по 31.12.2018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НАКАЗУЮ: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 Створити комісію з обстеження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основних засобів та товарно-            матеріальних цінностей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, яке знаходиться на балансі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Головного управління Держгеокадастру у Рівненській області (далі — Головне управління)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складі: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33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19"/>
        <w:gridCol w:w="6012"/>
      </w:tblGrid>
      <w:tr>
        <w:trPr/>
        <w:tc>
          <w:tcPr>
            <w:tcW w:w="331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Дубич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Сергій Валерійович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- перший заступник начальника  Головного управління,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голова комісії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>
        <w:trPr/>
        <w:tc>
          <w:tcPr>
            <w:tcW w:w="933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Члени комісії:</w:t>
            </w:r>
          </w:p>
        </w:tc>
      </w:tr>
      <w:tr>
        <w:trPr/>
        <w:tc>
          <w:tcPr>
            <w:tcW w:w="331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Максимчук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Віктор Петрович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начальник юридичного управління Головного управління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>
        <w:trPr/>
        <w:tc>
          <w:tcPr>
            <w:tcW w:w="331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34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Ковтун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Анатасія Миколаївна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головний спеціаліст відділу бухгалтерського обліку та звітності фінансового управління Головного управління;</w:t>
            </w:r>
          </w:p>
        </w:tc>
      </w:tr>
      <w:tr>
        <w:trPr/>
        <w:tc>
          <w:tcPr>
            <w:tcW w:w="331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Косянчук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Тетяна Олександрівна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</w:tr>
      <w:tr>
        <w:trPr/>
        <w:tc>
          <w:tcPr>
            <w:tcW w:w="331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Самков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Ігор Миколайович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 Контроль за виконанням цього наказу залишаю за собою.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Р.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МИГАЛЬ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00c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9400cf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9400cf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LibreOffice/6.0.4.2$Windows_x86 LibreOffice_project/9b0d9b32d5dcda91d2f1a96dc04c645c450872bf</Application>
  <Pages>1</Pages>
  <Words>163</Words>
  <Characters>1251</Characters>
  <CharactersWithSpaces>1493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2019-04-04T12:01:00Z</dcterms:created>
  <dc:creator>Таня Косянчук</dc:creator>
  <dc:description/>
  <dc:language>uk-UA</dc:language>
  <cp:lastModifiedBy/>
  <dcterms:modified xsi:type="dcterms:W3CDTF">2019-04-12T10:02:40Z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