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Додаток 4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до наказу Головного управління                </w:t>
      </w:r>
    </w:p>
    <w:p>
      <w:pPr>
        <w:pStyle w:val="Normal"/>
        <w:shd w:val="clear" w:fill="FFFFFF"/>
        <w:tabs>
          <w:tab w:val="clear" w:pos="709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/>
        </w:rPr>
        <w:t>23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.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02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.202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1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 № 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17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-од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“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Про затвердження Інформаційних та             </w:t>
      </w:r>
    </w:p>
    <w:p>
      <w:pPr>
        <w:pStyle w:val="Normal"/>
        <w:shd w:val="clear" w:fill="FFFFFF"/>
        <w:tabs>
          <w:tab w:val="clear" w:pos="709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Технологічних карток адміністративних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послуг, які надаються Головним                         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управління Держгеокадастру у </w:t>
      </w:r>
    </w:p>
    <w:p>
      <w:pPr>
        <w:pStyle w:val="Normal"/>
        <w:shd w:val="clear" w:fill="FFFFFF"/>
        <w:tabs>
          <w:tab w:val="clear" w:pos="709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Рівенській області”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(у редакції наказу Головного управління      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tabs>
          <w:tab w:val="clear" w:pos="709"/>
          <w:tab w:val="left" w:pos="5503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uk-UA" w:eastAsia="ru-RU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 xml:space="preserve">від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en-US" w:eastAsia="ru-RU"/>
        </w:rPr>
        <w:t>13.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 xml:space="preserve">09.2021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 xml:space="preserve">№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>114-од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1"/>
        <w:gridCol w:w="2547"/>
        <w:gridCol w:w="621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n813"/>
            <w:bookmarkEnd w:id="0"/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n814"/>
            <w:bookmarkEnd w:id="1"/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n815"/>
            <w:bookmarkEnd w:id="2"/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n818"/>
            <w:bookmarkEnd w:id="3"/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n819"/>
            <w:bookmarkEnd w:id="4"/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bookmarkStart w:id="5" w:name="n816"/>
      <w:bookmarkEnd w:id="5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bookmarkStart w:id="6" w:name="n817"/>
      <w:bookmarkEnd w:id="6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2" w:tgtFrame="_blank">
        <w:r>
          <w:rPr>
            <w:rStyle w:val="Style15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1"/>
        <w:gridCol w:w="2547"/>
        <w:gridCol w:w="621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3" w:tgtFrame="_blank">
        <w:r>
          <w:rPr>
            <w:rStyle w:val="Style15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bb4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49c7"/>
    <w:rPr>
      <w:b/>
      <w:bCs/>
    </w:rPr>
  </w:style>
  <w:style w:type="character" w:styleId="Style13">
    <w:name w:val="Виділення"/>
    <w:basedOn w:val="DefaultParagraphFont"/>
    <w:uiPriority w:val="20"/>
    <w:qFormat/>
    <w:rsid w:val="007e49c7"/>
    <w:rPr>
      <w:i/>
      <w:i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734cd"/>
    <w:rPr>
      <w:rFonts w:ascii="Segoe UI" w:hAnsi="Segoe UI" w:cs="Segoe UI"/>
      <w:sz w:val="18"/>
      <w:szCs w:val="18"/>
    </w:rPr>
  </w:style>
  <w:style w:type="character" w:styleId="Style15">
    <w:name w:val="Гіперпосилання"/>
    <w:basedOn w:val="DefaultParagraphFont"/>
    <w:uiPriority w:val="99"/>
    <w:semiHidden/>
    <w:unhideWhenUsed/>
    <w:rsid w:val="003305ca"/>
    <w:rPr>
      <w:color w:val="0000FF"/>
      <w:u w:val="single"/>
    </w:rPr>
  </w:style>
  <w:style w:type="character" w:styleId="Rvts37">
    <w:name w:val="rvts37"/>
    <w:basedOn w:val="DefaultParagraphFont"/>
    <w:qFormat/>
    <w:rPr/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styleId="Rvts80">
    <w:name w:val="rvts80"/>
    <w:qFormat/>
    <w:rPr/>
  </w:style>
  <w:style w:type="character" w:styleId="St42">
    <w:name w:val="st42"/>
    <w:qFormat/>
    <w:rPr>
      <w:color w:val="000000"/>
    </w:rPr>
  </w:style>
  <w:style w:type="character" w:styleId="HTML">
    <w:name w:val="Стандартний HTML Знак"/>
    <w:qFormat/>
    <w:rPr>
      <w:rFonts w:ascii="Courier New" w:hAnsi="Courier New" w:cs="Courier New"/>
      <w:sz w:val="21"/>
      <w:szCs w:val="21"/>
      <w:lang w:val="ru-RU" w:eastAsia="ru-RU"/>
    </w:rPr>
  </w:style>
  <w:style w:type="character" w:styleId="Rvts11">
    <w:name w:val="rvts11"/>
    <w:qFormat/>
    <w:rPr/>
  </w:style>
  <w:style w:type="character" w:styleId="Rvts46">
    <w:name w:val="rvts46"/>
    <w:qFormat/>
    <w:rPr/>
  </w:style>
  <w:style w:type="character" w:styleId="Rvts82">
    <w:name w:val="rvts82"/>
    <w:qFormat/>
    <w:rPr/>
  </w:style>
  <w:style w:type="character" w:styleId="Rvts23">
    <w:name w:val="rvts23"/>
    <w:qFormat/>
    <w:rPr/>
  </w:style>
  <w:style w:type="character" w:styleId="Style16">
    <w:name w:val="Текст у виносці Знак"/>
    <w:qFormat/>
    <w:rPr>
      <w:rFonts w:ascii="Tahoma" w:hAnsi="Tahoma" w:cs="Tahoma"/>
      <w:sz w:val="16"/>
      <w:szCs w:val="16"/>
      <w:lang w:val="uk-UA"/>
    </w:rPr>
  </w:style>
  <w:style w:type="character" w:styleId="Pagenumber">
    <w:name w:val="page number"/>
    <w:basedOn w:val="DefaultParagraphFont"/>
    <w:qFormat/>
    <w:rPr/>
  </w:style>
  <w:style w:type="character" w:styleId="Rvts0">
    <w:name w:val="rvts0"/>
    <w:basedOn w:val="DefaultParagraphFont"/>
    <w:qFormat/>
    <w:rPr/>
  </w:style>
  <w:style w:type="character" w:styleId="FontStyle">
    <w:name w:val="Font Style"/>
    <w:qFormat/>
    <w:rPr>
      <w:rFonts w:cs="Courier New"/>
      <w:b/>
      <w:bCs/>
      <w:color w:val="000000"/>
      <w:sz w:val="28"/>
      <w:szCs w:val="28"/>
    </w:rPr>
  </w:style>
  <w:style w:type="character" w:styleId="Spelle">
    <w:name w:val="spelle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e49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734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vps2" w:customStyle="1">
    <w:name w:val="rvps2"/>
    <w:basedOn w:val="Normal"/>
    <w:qFormat/>
    <w:rsid w:val="003305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hapkaDocumentu" w:customStyle="1">
    <w:name w:val="Shapka Documentu"/>
    <w:basedOn w:val="Normal"/>
    <w:qFormat/>
    <w:rsid w:val="009702db"/>
    <w:pPr>
      <w:keepNext w:val="true"/>
      <w:keepLines/>
      <w:spacing w:lineRule="auto" w:line="240" w:before="0" w:after="240"/>
      <w:ind w:left="3969" w:hanging="0"/>
      <w:jc w:val="center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Msonormal">
    <w:name w:val="msonormal"/>
    <w:basedOn w:val="Normal"/>
    <w:qFormat/>
    <w:pPr>
      <w:spacing w:before="280" w:after="280"/>
    </w:pPr>
    <w:rPr>
      <w:lang w:val="ru-RU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Rvps14">
    <w:name w:val="rvps14"/>
    <w:basedOn w:val="Normal"/>
    <w:qFormat/>
    <w:pPr>
      <w:spacing w:before="280" w:after="280"/>
    </w:pPr>
    <w:rPr>
      <w:lang w:eastAsia="uk-UA"/>
    </w:rPr>
  </w:style>
  <w:style w:type="paragraph" w:styleId="Rvps6">
    <w:name w:val="rvps6"/>
    <w:basedOn w:val="Normal"/>
    <w:qFormat/>
    <w:pPr>
      <w:spacing w:before="280" w:after="280"/>
    </w:pPr>
    <w:rPr>
      <w:lang w:eastAsia="uk-UA"/>
    </w:rPr>
  </w:style>
  <w:style w:type="paragraph" w:styleId="Rvps12">
    <w:name w:val="rvps12"/>
    <w:basedOn w:val="Normal"/>
    <w:qFormat/>
    <w:pPr>
      <w:spacing w:before="280" w:after="280"/>
    </w:pPr>
    <w:rPr>
      <w:lang w:eastAsia="uk-UA"/>
    </w:rPr>
  </w:style>
  <w:style w:type="paragraph" w:styleId="Style24">
    <w:name w:val="Верхній і нижній колонтитули"/>
    <w:basedOn w:val="Normal"/>
    <w:qFormat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Style27">
    <w:name w:val="Назва документа"/>
    <w:basedOn w:val="Normal"/>
    <w:next w:val="Style28"/>
    <w:qFormat/>
    <w:pPr>
      <w:keepNext w:val="true"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styleId="Style28">
    <w:name w:val="Нормальний текст"/>
    <w:basedOn w:val="Normal"/>
    <w:qFormat/>
    <w:pPr>
      <w:spacing w:before="120" w:after="0"/>
      <w:ind w:left="0" w:right="0" w:firstLine="567"/>
    </w:pPr>
    <w:rPr>
      <w:rFonts w:ascii="Antiqua" w:hAnsi="Antiqua" w:cs="Antiqua"/>
      <w:sz w:val="26"/>
      <w:szCs w:val="20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9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2747-15" TargetMode="External"/><Relationship Id="rId3" Type="http://schemas.openxmlformats.org/officeDocument/2006/relationships/hyperlink" Target="https://zakon.rada.gov.ua/laws/show/2747-1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F8E4-78FF-4EBF-9D76-79A5206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LibreOffice/6.3.6.2$Windows_X86_64 LibreOffice_project/2196df99b074d8a661f4036fca8fa0cbfa33a497</Application>
  <Pages>8</Pages>
  <Words>1695</Words>
  <Characters>12187</Characters>
  <CharactersWithSpaces>15123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2021-07-02T13:20:00Z</dcterms:created>
  <dc:creator>Лілія Кукуруза</dc:creator>
  <dc:description/>
  <dc:language>uk-UA</dc:language>
  <cp:lastModifiedBy/>
  <cp:lastPrinted>2021-09-03T13:49:46Z</cp:lastPrinted>
  <dcterms:modified xsi:type="dcterms:W3CDTF">2021-09-29T17:26:51Z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