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4"/>
        <w:gridCol w:w="2775"/>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5"/>
        <w:gridCol w:w="5"/>
        <w:gridCol w:w="5255"/>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w:t>
            </w:r>
            <w:r>
              <w:rPr>
                <w:sz w:val="19"/>
                <w:szCs w:val="19"/>
                <w:shd w:fill="FFFFFF" w:val="clear"/>
              </w:rPr>
              <w:t>землі в межах території територіальної громади</w:t>
            </w:r>
            <w:r>
              <w:rPr>
                <w:sz w:val="19"/>
                <w:szCs w:val="19"/>
              </w:rPr>
              <w:t xml:space="preserve"> або повідомлення про відмову у наданні відомостей з Державного земельного кадастру </w:t>
            </w:r>
            <w:r>
              <w:rPr>
                <w:sz w:val="19"/>
                <w:szCs w:val="19"/>
                <w:shd w:fill="FFFFFF" w:val="clear"/>
              </w:rPr>
              <w:t xml:space="preserve">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наведена у додатку до  </w:t>
            </w:r>
            <w:r>
              <w:rPr>
                <w:sz w:val="19"/>
                <w:szCs w:val="19"/>
                <w:lang w:eastAsia="uk-UA"/>
              </w:rPr>
              <w:t>Типової і</w:t>
            </w:r>
            <w:r>
              <w:rPr>
                <w:sz w:val="19"/>
                <w:szCs w:val="19"/>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4427323"/>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5577340"/>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04169354"/>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52918491"/>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58230606"/>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55000949"/>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5642696"/>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Application>LibreOffice/7.2.7.2$Windows_X86_64 LibreOffice_project/8d71d29d553c0f7dcbfa38fbfda25ee34cce99a2</Application>
  <AppVersion>15.0000</AppVersion>
  <Pages>208</Pages>
  <Words>43416</Words>
  <Characters>314323</Characters>
  <CharactersWithSpaces>360616</CharactersWithSpaces>
  <Paragraphs>4131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2023-04-26T14:26:48Z</cp:lastPrinted>
  <dcterms:modified xsi:type="dcterms:W3CDTF">2023-04-26T14:27:25Z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