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2">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10">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11">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16">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18">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20">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22">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24">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26">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4"/>
        <w:gridCol w:w="5272"/>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3"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2" w:type="dxa"/>
            <w:tcBorders>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28">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32">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36">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38">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41">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42">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51">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54">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55">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58">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64">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66">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68">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70">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71">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2"/>
        <w:gridCol w:w="5404"/>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Відділ  надання адміністративних послуг  та  соціального захисту населення</w:t>
            </w:r>
          </w:p>
          <w:p>
            <w:pPr>
              <w:pStyle w:val="Normal"/>
              <w:widowControl w:val="false"/>
              <w:jc w:val="center"/>
              <w:rPr>
                <w:rFonts w:eastAsia="font98"/>
                <w:b/>
                <w:b/>
                <w:bCs/>
                <w:color w:val="000000"/>
                <w:sz w:val="20"/>
                <w:szCs w:val="20"/>
                <w:lang w:eastAsia="uk-UA"/>
              </w:rPr>
            </w:pPr>
            <w:r>
              <w:rPr>
                <w:rFonts w:eastAsia="font98"/>
                <w:b/>
                <w:bCs/>
                <w:color w:val="000000"/>
                <w:sz w:val="20"/>
                <w:szCs w:val="20"/>
                <w:lang w:eastAsia="uk-UA"/>
              </w:rPr>
              <w:t>Мізоцької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Рівненська область, смт. Мізоч, вул. Тараса Якимчука, 12</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font98"/>
                <w:color w:val="000000"/>
                <w:sz w:val="20"/>
                <w:szCs w:val="20"/>
                <w:lang w:eastAsia="uk-UA"/>
              </w:rPr>
            </w:pPr>
            <w:r>
              <w:rPr>
                <w:rFonts w:eastAsia="font98"/>
                <w:color w:val="000000"/>
                <w:sz w:val="20"/>
                <w:szCs w:val="20"/>
                <w:lang w:eastAsia="uk-UA"/>
              </w:rPr>
              <w:t>Понеділок - 08.00-17.15; вівторок — 08.00-17.15; середа - 08.00-17.15; четвер — 08.00-17.15; п’ятниця - 08.00-16.00.  Без перерви на обід.                                                                   Вихідні дні – субота 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тел. (03652) 40169</w:t>
            </w:r>
          </w:p>
          <w:p>
            <w:pPr>
              <w:pStyle w:val="Normal"/>
              <w:widowControl w:val="false"/>
              <w:jc w:val="both"/>
              <w:rPr/>
            </w:pPr>
            <w:r>
              <w:rPr>
                <w:rFonts w:eastAsia="font98"/>
                <w:color w:val="000000"/>
                <w:sz w:val="20"/>
                <w:szCs w:val="20"/>
                <w:lang w:eastAsia="uk-UA"/>
              </w:rPr>
              <w:t xml:space="preserve">електронна адреса: </w:t>
            </w:r>
            <w:hyperlink r:id="rId72">
              <w:r>
                <w:rPr>
                  <w:rFonts w:eastAsia="font98"/>
                  <w:color w:val="000000"/>
                  <w:sz w:val="20"/>
                  <w:szCs w:val="20"/>
                  <w:lang w:val="en-US" w:eastAsia="uk-UA"/>
                </w:rPr>
                <w:t>mizochuszn</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pPr>
            <w:r>
              <w:rPr>
                <w:rStyle w:val="Style13"/>
                <w:rFonts w:eastAsia="font98"/>
                <w:color w:val="000000"/>
                <w:sz w:val="20"/>
                <w:szCs w:val="20"/>
                <w:lang w:val="en-US" w:eastAsia="uk-UA"/>
              </w:rPr>
              <w:t>веб-сайт: https</w:t>
            </w:r>
            <w:r>
              <w:rPr>
                <w:rStyle w:val="Style13"/>
                <w:rFonts w:eastAsia="font98"/>
                <w:color w:val="000000"/>
                <w:sz w:val="20"/>
                <w:szCs w:val="20"/>
                <w:lang w:val="ru-RU" w:eastAsia="uk-UA"/>
              </w:rPr>
              <w:t>://</w:t>
            </w:r>
            <w:r>
              <w:rPr>
                <w:rStyle w:val="Style13"/>
                <w:rFonts w:eastAsia="font98"/>
                <w:color w:val="000000"/>
                <w:sz w:val="20"/>
                <w:szCs w:val="20"/>
                <w:lang w:val="en-US" w:eastAsia="uk-UA"/>
              </w:rPr>
              <w:t>mizochrada.department</w:t>
            </w:r>
            <w:r>
              <w:rPr>
                <w:rStyle w:val="Style13"/>
                <w:rFonts w:eastAsia="font98"/>
                <w:color w:val="000000"/>
                <w:sz w:val="20"/>
                <w:szCs w:val="20"/>
                <w:lang w:val="ru-RU" w:eastAsia="uk-UA"/>
              </w:rPr>
              <w:t>.</w:t>
            </w:r>
            <w:r>
              <w:rPr>
                <w:rStyle w:val="Style13"/>
                <w:rFonts w:eastAsia="font98"/>
                <w:color w:val="000000"/>
                <w:sz w:val="20"/>
                <w:szCs w:val="20"/>
                <w:lang w:val="en-US" w:eastAsia="uk-UA"/>
              </w:rPr>
              <w:t>org</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zochuszn@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mizochuszn@ukr.net" TargetMode="External"/><Relationship Id="rId11" Type="http://schemas.openxmlformats.org/officeDocument/2006/relationships/hyperlink" Target="mailto:mizochuszn@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mizochuszn@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mizochuszn@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mizochuszn@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mizochuszn@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mizochuszn@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mizochuszn@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mizochuszn@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mizochuszn@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mizochuszn@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mizochuszn@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mizochuszn@ukr.net" TargetMode="External"/><Relationship Id="rId42" Type="http://schemas.openxmlformats.org/officeDocument/2006/relationships/hyperlink" Target="mailto:mizochuszn@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mizochuszn@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mizochuszn@ukr.net" TargetMode="External"/><Relationship Id="rId55" Type="http://schemas.openxmlformats.org/officeDocument/2006/relationships/hyperlink" Target="mailto:mizochuszn@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mizochuszn@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mizochuszn@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mizochuszn@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mizochuszn@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mizochuszn@ukr.net" TargetMode="External"/><Relationship Id="rId71" Type="http://schemas.openxmlformats.org/officeDocument/2006/relationships/hyperlink" Target="mailto:mizochuszn@ukr.net" TargetMode="External"/><Relationship Id="rId72" Type="http://schemas.openxmlformats.org/officeDocument/2006/relationships/hyperlink" Target="mailto:mizochuszn@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2737</TotalTime>
  <Application>LibreOffice/7.2.7.2$Windows_X86_64 LibreOffice_project/8d71d29d553c0f7dcbfa38fbfda25ee34cce99a2</Application>
  <AppVersion>15.0000</AppVersion>
  <Pages>206</Pages>
  <Words>42495</Words>
  <Characters>314934</Characters>
  <CharactersWithSpaces>362055</CharactersWithSpaces>
  <Paragraphs>3976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2024-07-03T13:51:32Z</cp:lastPrinted>
  <dcterms:modified xsi:type="dcterms:W3CDTF">2024-08-06T11:31:57Z</dcterms:modified>
  <cp:revision>1685</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