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1"/>
      <w:bookmarkStart w:id="55"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Fonts w:eastAsia="font98"/>
                <w:color w:val="000000"/>
                <w:sz w:val="20"/>
                <w:szCs w:val="20"/>
                <w:lang w:eastAsia="uk-UA"/>
              </w:rPr>
              <w:t xml:space="preserve">Електронна адреса: </w:t>
            </w:r>
            <w:hyperlink r:id="rId10">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11">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4"/>
            <w:bookmarkStart w:id="69" w:name="n633"/>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5"/>
            <w:bookmarkStart w:id="74" w:name="n2524"/>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5"/>
      <w:bookmarkStart w:id="76"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16">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18">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7"/>
      <w:bookmarkStart w:id="83"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20">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2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24">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0"/>
      <w:bookmarkStart w:id="94"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26">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4"/>
      <w:bookmarkStart w:id="98"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28">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17"/>
      <w:bookmarkStart w:id="102"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3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36">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1899"/>
            <w:bookmarkStart w:id="135" w:name="n653"/>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60"/>
            <w:bookmarkStart w:id="139" w:name="n658"/>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38">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6"/>
      <w:bookmarkStart w:id="163"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41">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7"/>
      <w:bookmarkStart w:id="167"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4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556"/>
            <w:bookmarkStart w:id="172" w:name="n2639"/>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557"/>
            <w:bookmarkStart w:id="174" w:name="n2144"/>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558"/>
            <w:bookmarkStart w:id="176" w:name="n2145"/>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560"/>
            <w:bookmarkStart w:id="179" w:name="n2146"/>
            <w:bookmarkEnd w:id="178"/>
            <w:bookmarkEnd w:id="179"/>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66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51">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9"/>
      <w:bookmarkStart w:id="194"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54">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0"/>
      <w:bookmarkStart w:id="199"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55">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1"/>
      <w:bookmarkStart w:id="219"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font98"/>
                <w:color w:val="000000"/>
                <w:sz w:val="20"/>
                <w:szCs w:val="20"/>
                <w:lang w:eastAsia="uk-UA"/>
              </w:rPr>
              <w:t xml:space="preserve">Електронна адреса: </w:t>
            </w:r>
            <w:hyperlink r:id="rId58">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5"/>
            <w:bookmarkStart w:id="223" w:name="n566"/>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1589"/>
            <w:bookmarkStart w:id="228" w:name="n568"/>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64">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33"/>
      <w:bookmarkStart w:id="237"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rFonts w:eastAsia="font98"/>
                <w:color w:val="000000"/>
                <w:sz w:val="20"/>
                <w:szCs w:val="20"/>
                <w:lang w:eastAsia="uk-UA"/>
              </w:rPr>
              <w:t xml:space="preserve">Електронна адреса: </w:t>
            </w:r>
            <w:hyperlink r:id="rId66">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34"/>
      <w:bookmarkStart w:id="241"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68">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35"/>
      <w:bookmarkStart w:id="249"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70">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36"/>
      <w:bookmarkStart w:id="255"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7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font98"/>
                      <w:color w:val="000000"/>
                      <w:sz w:val="20"/>
                      <w:szCs w:val="20"/>
                      <w:lang w:eastAsia="uk-UA"/>
                    </w:rPr>
                    <w:t xml:space="preserve">Електронна адреса: </w:t>
                  </w:r>
                  <w:hyperlink r:id="rId71">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37"/>
      <w:bookmarkStart w:id="259"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rFonts w:eastAsia="font98"/>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rFonts w:eastAsia="font98"/>
                <w:b/>
                <w:bCs/>
                <w:color w:val="000000"/>
                <w:sz w:val="20"/>
                <w:szCs w:val="20"/>
                <w:lang w:eastAsia="uk-UA"/>
              </w:rPr>
              <w:t xml:space="preserve">виконавчого комітету Миляцької сільської ради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8"/>
                <w:color w:val="000000"/>
                <w:sz w:val="20"/>
                <w:szCs w:val="20"/>
                <w:lang w:eastAsia="uk-UA"/>
              </w:rPr>
              <w:t>34133, Рівненська область, Сарненський район,                         с. Миляч, вул. Шкільна, 283</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eastAsia="font98"/>
                <w:color w:val="000000"/>
                <w:sz w:val="20"/>
                <w:szCs w:val="20"/>
                <w:lang w:eastAsia="uk-UA"/>
              </w:rPr>
            </w:pPr>
            <w:r>
              <w:rPr>
                <w:rFonts w:eastAsia="font98"/>
                <w:color w:val="000000"/>
                <w:sz w:val="20"/>
                <w:szCs w:val="20"/>
                <w:lang w:eastAsia="uk-UA"/>
              </w:rPr>
              <w:t xml:space="preserve">Понеділок - 09.00-18.15; вівторок - 09.00-18.15; середа - 09.00-20.00; четвер - 09.00-18.15; п’ятниця - 09.00-18.15.  Без перерви на обід. </w:t>
            </w:r>
          </w:p>
          <w:p>
            <w:pPr>
              <w:pStyle w:val="Normal"/>
              <w:widowControl w:val="false"/>
              <w:jc w:val="both"/>
              <w:rPr>
                <w:sz w:val="20"/>
                <w:szCs w:val="20"/>
              </w:rPr>
            </w:pPr>
            <w:r>
              <w:rPr>
                <w:rFonts w:eastAsia="font98"/>
                <w:color w:val="000000"/>
                <w:sz w:val="20"/>
                <w:szCs w:val="20"/>
                <w:lang w:eastAsia="uk-UA"/>
              </w:rPr>
              <w:t>Вихідні дні – субота,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rFonts w:eastAsia="font98"/>
                <w:color w:val="000000"/>
                <w:sz w:val="20"/>
                <w:szCs w:val="20"/>
                <w:lang w:eastAsia="uk-UA"/>
              </w:rPr>
              <w:t xml:space="preserve">Електронна адреса: </w:t>
            </w:r>
            <w:hyperlink r:id="rId72">
              <w:r>
                <w:rPr>
                  <w:rFonts w:eastAsia="font98"/>
                  <w:color w:val="000000"/>
                  <w:sz w:val="20"/>
                  <w:szCs w:val="20"/>
                  <w:lang w:val="en-US" w:eastAsia="uk-UA"/>
                </w:rPr>
                <w:t>mylcnap</w:t>
              </w:r>
              <w:r>
                <w:rPr>
                  <w:rFonts w:eastAsia="font98"/>
                  <w:color w:val="000000"/>
                  <w:sz w:val="20"/>
                  <w:szCs w:val="20"/>
                  <w:lang w:val="ru-RU" w:eastAsia="uk-UA"/>
                </w:rPr>
                <w:t>@</w:t>
              </w:r>
              <w:r>
                <w:rPr>
                  <w:rFonts w:eastAsia="font98"/>
                  <w:color w:val="000000"/>
                  <w:sz w:val="20"/>
                  <w:szCs w:val="20"/>
                  <w:lang w:val="en-US" w:eastAsia="uk-UA"/>
                </w:rPr>
                <w:t>ukr</w:t>
              </w:r>
              <w:r>
                <w:rPr>
                  <w:rFonts w:eastAsia="font98"/>
                  <w:color w:val="000000"/>
                  <w:sz w:val="20"/>
                  <w:szCs w:val="20"/>
                  <w:lang w:val="ru-RU" w:eastAsia="uk-UA"/>
                </w:rPr>
                <w:t>.</w:t>
              </w:r>
              <w:r>
                <w:rPr>
                  <w:rFonts w:eastAsia="font98"/>
                  <w:color w:val="000000"/>
                  <w:sz w:val="20"/>
                  <w:szCs w:val="20"/>
                  <w:lang w:val="en-US" w:eastAsia="uk-UA"/>
                </w:rPr>
                <w:t>net</w:t>
              </w:r>
            </w:hyperlink>
          </w:p>
          <w:p>
            <w:pPr>
              <w:pStyle w:val="Normal"/>
              <w:widowControl w:val="false"/>
              <w:jc w:val="both"/>
              <w:rPr>
                <w:sz w:val="20"/>
                <w:szCs w:val="20"/>
              </w:rPr>
            </w:pPr>
            <w:r>
              <w:rPr>
                <w:rFonts w:eastAsia="font98"/>
                <w:color w:val="000000"/>
                <w:sz w:val="20"/>
                <w:szCs w:val="20"/>
                <w:lang w:eastAsia="uk-UA"/>
              </w:rPr>
              <w:t xml:space="preserve">Веб- сайт: </w:t>
            </w:r>
            <w:r>
              <w:rPr>
                <w:rFonts w:eastAsia="font98"/>
                <w:color w:val="000000"/>
                <w:sz w:val="20"/>
                <w:szCs w:val="20"/>
                <w:lang w:val="en-US" w:eastAsia="uk-UA"/>
              </w:rPr>
              <w:t>https</w:t>
            </w:r>
            <w:r>
              <w:rPr>
                <w:rFonts w:eastAsia="font98"/>
                <w:color w:val="000000"/>
                <w:sz w:val="20"/>
                <w:szCs w:val="20"/>
                <w:lang w:val="ru-RU" w:eastAsia="uk-UA"/>
              </w:rPr>
              <w:t>://</w:t>
            </w:r>
            <w:r>
              <w:rPr>
                <w:rFonts w:eastAsia="font98"/>
                <w:color w:val="000000"/>
                <w:sz w:val="20"/>
                <w:szCs w:val="20"/>
                <w:lang w:val="en-US" w:eastAsia="uk-UA"/>
              </w:rPr>
              <w:t>mylyacka</w:t>
            </w:r>
            <w:r>
              <w:rPr>
                <w:rFonts w:eastAsia="font98"/>
                <w:color w:val="000000"/>
                <w:sz w:val="20"/>
                <w:szCs w:val="20"/>
                <w:lang w:val="ru-RU" w:eastAsia="uk-UA"/>
              </w:rPr>
              <w:t>-</w:t>
            </w:r>
            <w:r>
              <w:rPr>
                <w:rFonts w:eastAsia="font98"/>
                <w:color w:val="000000"/>
                <w:sz w:val="20"/>
                <w:szCs w:val="20"/>
                <w:lang w:val="en-US" w:eastAsia="uk-UA"/>
              </w:rPr>
              <w:t>gromada</w:t>
            </w:r>
            <w:r>
              <w:rPr>
                <w:rFonts w:eastAsia="font98"/>
                <w:color w:val="000000"/>
                <w:sz w:val="20"/>
                <w:szCs w:val="20"/>
                <w:lang w:val="ru-RU" w:eastAsia="uk-UA"/>
              </w:rPr>
              <w:t>.</w:t>
            </w:r>
            <w:r>
              <w:rPr>
                <w:rFonts w:eastAsia="font98"/>
                <w:color w:val="000000"/>
                <w:sz w:val="20"/>
                <w:szCs w:val="20"/>
                <w:lang w:val="en-US" w:eastAsia="uk-UA"/>
              </w:rPr>
              <w:t>gov</w:t>
            </w:r>
            <w:r>
              <w:rPr>
                <w:rFonts w:eastAsia="font98"/>
                <w:color w:val="000000"/>
                <w:sz w:val="20"/>
                <w:szCs w:val="20"/>
                <w:lang w:val="ru-RU" w:eastAsia="uk-UA"/>
              </w:rPr>
              <w:t>.</w:t>
            </w:r>
            <w:r>
              <w:rPr>
                <w:rFonts w:eastAsia="font98"/>
                <w:color w:val="000000"/>
                <w:sz w:val="20"/>
                <w:szCs w:val="20"/>
                <w:lang w:val="en-US" w:eastAsia="uk-UA"/>
              </w:rPr>
              <w:t>ua</w:t>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ylcnap@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mylcnap@ukr.net" TargetMode="External"/><Relationship Id="rId11" Type="http://schemas.openxmlformats.org/officeDocument/2006/relationships/hyperlink" Target="mailto:mylcnap@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mylcnap@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mylcnap@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mylcnap@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mylcnap@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mylcnap@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mylcnap@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mylcnap@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mylcnap@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mylcnap@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mylcnap@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mylcnap@ukr.net" TargetMode="External"/><Relationship Id="rId42" Type="http://schemas.openxmlformats.org/officeDocument/2006/relationships/hyperlink" Target="mailto:mylcnap@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mylcnap@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mylcnap@ukr.net" TargetMode="External"/><Relationship Id="rId55" Type="http://schemas.openxmlformats.org/officeDocument/2006/relationships/hyperlink" Target="mailto:mylcnap@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mylcnap@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mylcnap@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mylcnap@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mylcnap@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mylcnap@ukr.net" TargetMode="External"/><Relationship Id="rId71" Type="http://schemas.openxmlformats.org/officeDocument/2006/relationships/hyperlink" Target="mailto:mylcnap@ukr.net" TargetMode="External"/><Relationship Id="rId72" Type="http://schemas.openxmlformats.org/officeDocument/2006/relationships/hyperlink" Target="mailto:mylcnap@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3003</TotalTime>
  <Application>LibreOffice/7.2.7.2$Windows_X86_64 LibreOffice_project/8d71d29d553c0f7dcbfa38fbfda25ee34cce99a2</Application>
  <AppVersion>15.0000</AppVersion>
  <Pages>206</Pages>
  <Words>42648</Words>
  <Characters>315233</Characters>
  <CharactersWithSpaces>360728</CharactersWithSpaces>
  <Paragraphs>3510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2024-08-14T10:50:07Z</dcterms:modified>
  <cp:revision>1727</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